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Organiza</w:t>
      </w:r>
      <w:r>
        <w:rPr>
          <w:sz w:val="20"/>
          <w:szCs w:val="20"/>
        </w:rPr>
        <w:t>tor</w:t>
      </w:r>
      <w:r w:rsidRPr="00FF1400">
        <w:rPr>
          <w:sz w:val="20"/>
          <w:szCs w:val="20"/>
        </w:rPr>
        <w:t>: Fundacja Panoptykon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Reprezentuje: organizacja pozarządowa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Współorganizator warsztatu: </w:t>
      </w:r>
      <w:proofErr w:type="spellStart"/>
      <w:r w:rsidRPr="00FF1400">
        <w:rPr>
          <w:sz w:val="20"/>
          <w:szCs w:val="20"/>
        </w:rPr>
        <w:t>Niebezpiecznik</w:t>
      </w:r>
      <w:proofErr w:type="spellEnd"/>
      <w:r w:rsidRPr="00FF1400">
        <w:rPr>
          <w:sz w:val="20"/>
          <w:szCs w:val="20"/>
        </w:rPr>
        <w:t>/ biznes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Format: Okrągły stół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Czas trwania warsztatu: 90 minut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Tytuł warsztatu: Blokowanie stron internetowych: lekcje i rekomendacje na bazie polskich doświadczeń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Krótki opis warsztatu: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Ustawa antyterrorystyczna i ustawa hazardowa wprowadziły mechanizmy umożliwiające blokowanie stron w Internecie.  Sąd Okręgowy w Warszawie – na wniosek Szefa ABW – może zarządzić zablokowanie „danych informatycznych mających związek ze zdarzeniem o charakterze terrorystycznym”. Z kolei Minister Finansów arbitralnie podejmuje decyzje o wpisaniu stron służących do oferowania gier hazardowych niezgodnie z przepisami. Wpis do rejestru zobowiązuje dostawców Internetu do uniemożliwienia dostępu do ich treści. Od decyzji Ministerstwa Finansów przysługuje odwołanie do sądu. Po kilku(nastu) miesiącach od wprowadzenia tych rozwiązań możemy spojrzeć wstecz i ocenić ich skuteczność oraz związane z nimi ryzyka.  Taka dyskusja może przyczynić się do zebrania dowodów i argumentów wspierających tworzenie lepszych rozwiązań prawnych w przyszłości.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Scenariusz warsztatu: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Spotkanie otworzą organizatorzy warsztatu krótkimi wprowadzeniami (3x5 minut). Następnie przejdziemy do moderowanej dyskusji wokół następujących pytań i problemów: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</w:p>
    <w:p w:rsidR="00EA1845" w:rsidRPr="00FF1400" w:rsidRDefault="00EA1845" w:rsidP="00EA1845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FF1400">
        <w:rPr>
          <w:sz w:val="20"/>
          <w:szCs w:val="20"/>
        </w:rPr>
        <w:t>Jak, w praktyce, wyglądało wdrożenie obowiązku blokowania stron przez operatorów telekomunikacyjnych?</w:t>
      </w:r>
    </w:p>
    <w:p w:rsidR="00EA1845" w:rsidRPr="00FF1400" w:rsidRDefault="00EA1845" w:rsidP="00EA1845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FF1400">
        <w:rPr>
          <w:sz w:val="20"/>
          <w:szCs w:val="20"/>
        </w:rPr>
        <w:t>Czy wiązało się z istotnymi kosztami/obciążeniami?</w:t>
      </w:r>
    </w:p>
    <w:p w:rsidR="00EA1845" w:rsidRPr="00FF1400" w:rsidRDefault="00EA1845" w:rsidP="00EA1845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FF1400">
        <w:rPr>
          <w:sz w:val="20"/>
          <w:szCs w:val="20"/>
        </w:rPr>
        <w:t>W jaki sposób wpłynęło na doświadczenie i prywatność użytkowników? Jakie dane/raporty są przekazywane organom państwa?</w:t>
      </w:r>
    </w:p>
    <w:p w:rsidR="00EA1845" w:rsidRPr="00FF1400" w:rsidRDefault="00EA1845" w:rsidP="00EA1845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FF1400">
        <w:rPr>
          <w:sz w:val="20"/>
          <w:szCs w:val="20"/>
        </w:rPr>
        <w:t>Czy wdrożone mechanizmy blokowania mogą zostać łatwo powielone/przeniesione do innych domen? Czy będą skuteczne?</w:t>
      </w:r>
    </w:p>
    <w:p w:rsidR="00EA1845" w:rsidRPr="00FF1400" w:rsidRDefault="00EA1845" w:rsidP="00EA1845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FF1400">
        <w:rPr>
          <w:sz w:val="20"/>
          <w:szCs w:val="20"/>
        </w:rPr>
        <w:t>W jaki inny/lepszy sposób możemy ograniczać dostęp użytkowników do nielegalnych treści (i czy w ogóle należy to robić)?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W podsumowaniu warsztatu postaramy się zebrać od wszystkich uczestników rekomendacje i </w:t>
      </w:r>
      <w:proofErr w:type="spellStart"/>
      <w:r w:rsidRPr="00FF1400">
        <w:rPr>
          <w:sz w:val="20"/>
          <w:szCs w:val="20"/>
        </w:rPr>
        <w:t>wniski</w:t>
      </w:r>
      <w:proofErr w:type="spellEnd"/>
      <w:r w:rsidRPr="00FF1400">
        <w:rPr>
          <w:sz w:val="20"/>
          <w:szCs w:val="20"/>
        </w:rPr>
        <w:t xml:space="preserve"> de lege </w:t>
      </w:r>
      <w:proofErr w:type="spellStart"/>
      <w:r w:rsidRPr="00FF1400">
        <w:rPr>
          <w:sz w:val="20"/>
          <w:szCs w:val="20"/>
        </w:rPr>
        <w:t>ferenda</w:t>
      </w:r>
      <w:proofErr w:type="spellEnd"/>
      <w:r w:rsidRPr="00FF1400">
        <w:rPr>
          <w:sz w:val="20"/>
          <w:szCs w:val="20"/>
        </w:rPr>
        <w:t>.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Do rozmowy przy okrągłym stole chcemy zaprosić największych operatorów (Orange, T-Mobile), organizacje broniące praw człowieka (</w:t>
      </w:r>
      <w:proofErr w:type="spellStart"/>
      <w:r w:rsidRPr="00FF1400">
        <w:rPr>
          <w:sz w:val="20"/>
          <w:szCs w:val="20"/>
        </w:rPr>
        <w:t>Amnesty</w:t>
      </w:r>
      <w:proofErr w:type="spellEnd"/>
      <w:r w:rsidRPr="00FF1400">
        <w:rPr>
          <w:sz w:val="20"/>
          <w:szCs w:val="20"/>
        </w:rPr>
        <w:t xml:space="preserve"> International, </w:t>
      </w:r>
      <w:proofErr w:type="spellStart"/>
      <w:r w:rsidRPr="00FF1400">
        <w:rPr>
          <w:sz w:val="20"/>
          <w:szCs w:val="20"/>
        </w:rPr>
        <w:t>HFPCz</w:t>
      </w:r>
      <w:proofErr w:type="spellEnd"/>
      <w:r w:rsidRPr="00FF1400">
        <w:rPr>
          <w:sz w:val="20"/>
          <w:szCs w:val="20"/>
        </w:rPr>
        <w:t>) oraz przedstawicieli organów państwa (MC, MF, ABW). Liczymy na pomoc organizatorów IGF.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prelegentów: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Piotr Konieczny, </w:t>
      </w:r>
      <w:proofErr w:type="spellStart"/>
      <w:r w:rsidRPr="00FF1400">
        <w:rPr>
          <w:sz w:val="20"/>
          <w:szCs w:val="20"/>
        </w:rPr>
        <w:t>Niebezpiecznik</w:t>
      </w:r>
      <w:proofErr w:type="spellEnd"/>
      <w:r w:rsidRPr="00FF1400">
        <w:rPr>
          <w:sz w:val="20"/>
          <w:szCs w:val="20"/>
        </w:rPr>
        <w:t>/ biznes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Adam </w:t>
      </w:r>
      <w:proofErr w:type="spellStart"/>
      <w:r w:rsidRPr="00FF1400">
        <w:rPr>
          <w:sz w:val="20"/>
          <w:szCs w:val="20"/>
        </w:rPr>
        <w:t>Haertle</w:t>
      </w:r>
      <w:proofErr w:type="spellEnd"/>
      <w:r w:rsidRPr="00FF1400">
        <w:rPr>
          <w:sz w:val="20"/>
          <w:szCs w:val="20"/>
        </w:rPr>
        <w:t>, Zaufana Trzecia Strona/ środowisko naukowe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moderatorów: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Katarzyna </w:t>
      </w:r>
      <w:proofErr w:type="spellStart"/>
      <w:r w:rsidRPr="00FF1400">
        <w:rPr>
          <w:sz w:val="20"/>
          <w:szCs w:val="20"/>
        </w:rPr>
        <w:t>Szymielewicz</w:t>
      </w:r>
      <w:proofErr w:type="spellEnd"/>
      <w:r w:rsidRPr="00FF1400">
        <w:rPr>
          <w:sz w:val="20"/>
          <w:szCs w:val="20"/>
        </w:rPr>
        <w:t>, Panoptykon/ NGO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EA1845" w:rsidRPr="00FF1400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sprawozdawców:</w:t>
      </w:r>
    </w:p>
    <w:p w:rsidR="000772AD" w:rsidRPr="00EA1845" w:rsidRDefault="00EA1845" w:rsidP="00EA1845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Katarzyna </w:t>
      </w:r>
      <w:proofErr w:type="spellStart"/>
      <w:r w:rsidRPr="00FF1400">
        <w:rPr>
          <w:sz w:val="20"/>
          <w:szCs w:val="20"/>
        </w:rPr>
        <w:t>Szymielewicz</w:t>
      </w:r>
      <w:proofErr w:type="spellEnd"/>
      <w:r w:rsidRPr="00FF1400">
        <w:rPr>
          <w:sz w:val="20"/>
          <w:szCs w:val="20"/>
        </w:rPr>
        <w:t>, Panoptykon/ NGO</w:t>
      </w:r>
      <w:bookmarkStart w:id="0" w:name="_GoBack"/>
      <w:bookmarkEnd w:id="0"/>
    </w:p>
    <w:sectPr w:rsidR="000772AD" w:rsidRPr="00EA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2F9B"/>
    <w:multiLevelType w:val="hybridMultilevel"/>
    <w:tmpl w:val="F30CC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45"/>
    <w:rsid w:val="000523E0"/>
    <w:rsid w:val="000772AD"/>
    <w:rsid w:val="00336BAE"/>
    <w:rsid w:val="009E389B"/>
    <w:rsid w:val="00B41BB5"/>
    <w:rsid w:val="00D33661"/>
    <w:rsid w:val="00E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0ABC-E93A-44D0-B350-558669AD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661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661"/>
    <w:rPr>
      <w:rFonts w:ascii="Calibri" w:eastAsiaTheme="majorEastAsia" w:hAnsi="Calibri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A184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1845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Malczewska Joanna</dc:creator>
  <cp:keywords/>
  <dc:description/>
  <cp:lastModifiedBy>Malczewska Joanna</cp:lastModifiedBy>
  <cp:revision>1</cp:revision>
  <dcterms:created xsi:type="dcterms:W3CDTF">2017-09-11T12:45:00Z</dcterms:created>
  <dcterms:modified xsi:type="dcterms:W3CDTF">2017-09-11T12:45:00Z</dcterms:modified>
</cp:coreProperties>
</file>